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BC" w:rsidRDefault="00695444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>Fabrication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EF57BC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BC" w:rsidRDefault="00695444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Portail</w:t>
            </w:r>
            <w:r w:rsidR="00392314">
              <w:rPr>
                <w:rFonts w:ascii="Industria" w:hAnsi="Industria" w:cs="Arial"/>
                <w:color w:val="1F497D"/>
                <w:sz w:val="72"/>
                <w:szCs w:val="72"/>
              </w:rPr>
              <w:t xml:space="preserve"> : maquette </w:t>
            </w:r>
          </w:p>
          <w:p w:rsidR="00EF57BC" w:rsidRDefault="00EF57BC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EF57BC" w:rsidRDefault="00392314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>■</w:t>
            </w:r>
            <w:r w:rsidR="00695444">
              <w:t>4</w:t>
            </w:r>
            <w:r w:rsidR="00695444">
              <w:rPr>
                <w:vertAlign w:val="superscript"/>
              </w:rPr>
              <w:t>ème</w:t>
            </w:r>
          </w:p>
          <w:p w:rsidR="00EF57BC" w:rsidRDefault="00695444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EF57BC" w:rsidRDefault="00695444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EF57BC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7BC" w:rsidRDefault="00695444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 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concevoir, créer, réaliser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40_1</w:t>
            </w:r>
          </w:p>
        </w:tc>
      </w:tr>
    </w:tbl>
    <w:p w:rsidR="00EF57BC" w:rsidRDefault="00695444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 w:rsidR="00392314">
        <w:rPr>
          <w:rFonts w:ascii="Arial" w:hAnsi="Arial" w:cs="Arial"/>
          <w:sz w:val="24"/>
          <w:szCs w:val="24"/>
        </w:rPr>
        <w:t>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EF57BC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EF57BC" w:rsidRDefault="00695444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Matérialiser une idée en intégrant une dimension design</w:t>
            </w:r>
          </w:p>
        </w:tc>
      </w:tr>
      <w:tr w:rsidR="00EF57BC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S'approprier un cahier des charges</w:t>
            </w:r>
          </w:p>
          <w:p w:rsidR="00EF57BC" w:rsidRDefault="0069544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Réaliser de manière collaborative,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le prototype d'un objet communicant</w:t>
            </w:r>
          </w:p>
        </w:tc>
      </w:tr>
      <w:tr w:rsidR="00EF57BC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Besoin, contraintes, normalisation</w:t>
            </w:r>
          </w:p>
          <w:p w:rsidR="00EF57BC" w:rsidRDefault="00695444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Principaux élèments d'un cahier des charges</w:t>
            </w:r>
          </w:p>
          <w:p w:rsidR="00EF57BC" w:rsidRDefault="00695444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Réaliser de manière collaborative, le prototype d'un objet pour valider une solution</w:t>
            </w:r>
          </w:p>
        </w:tc>
      </w:tr>
    </w:tbl>
    <w:p w:rsidR="00EF57BC" w:rsidRDefault="00EF57BC">
      <w:pPr>
        <w:pStyle w:val="Standard"/>
      </w:pPr>
    </w:p>
    <w:p w:rsidR="00EF57BC" w:rsidRDefault="00695444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</w:t>
      </w:r>
      <w:r>
        <w:rPr>
          <w:rFonts w:ascii="Arial" w:hAnsi="Arial" w:cs="Arial"/>
          <w:color w:val="1F497D"/>
          <w:sz w:val="24"/>
          <w:szCs w:val="24"/>
        </w:rPr>
        <w:t xml:space="preserve"> pour la séance :</w:t>
      </w:r>
    </w:p>
    <w:p w:rsidR="00EF57BC" w:rsidRDefault="00392314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695444">
        <w:rPr>
          <w:rFonts w:ascii="Arial" w:hAnsi="Arial" w:cs="Arial"/>
          <w:sz w:val="20"/>
          <w:szCs w:val="20"/>
        </w:rPr>
        <w:t>Le design, l’innovation, la créativité.</w:t>
      </w:r>
    </w:p>
    <w:p w:rsidR="00EF57BC" w:rsidRDefault="0069544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EF57BC" w:rsidRDefault="0069544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EF57BC" w:rsidRDefault="00EF57BC">
      <w:pPr>
        <w:pStyle w:val="Standard"/>
        <w:spacing w:after="0"/>
      </w:pPr>
    </w:p>
    <w:p w:rsidR="00EF57BC" w:rsidRDefault="00695444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4 et 2</w:t>
      </w:r>
    </w:p>
    <w:p w:rsidR="00EF57BC" w:rsidRDefault="00695444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</w:t>
      </w:r>
      <w:r>
        <w:rPr>
          <w:rFonts w:ascii="Arial" w:hAnsi="Arial" w:cs="Arial"/>
          <w:color w:val="1F497D"/>
          <w:sz w:val="24"/>
          <w:szCs w:val="24"/>
        </w:rPr>
        <w:t>ique </w:t>
      </w:r>
      <w:r>
        <w:t xml:space="preserve">: </w:t>
      </w:r>
      <w:r>
        <w:rPr>
          <w:rFonts w:ascii="Arial" w:hAnsi="Arial" w:cs="Arial"/>
          <w:color w:val="009933"/>
          <w:sz w:val="24"/>
          <w:szCs w:val="24"/>
        </w:rPr>
        <w:t>Comment fabriquer l'objet technique en tenant compte du cahier des charges étudié précédement ?</w:t>
      </w:r>
    </w:p>
    <w:p w:rsidR="00EF57BC" w:rsidRDefault="00695444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EF57BC" w:rsidRDefault="0069544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EF57BC" w:rsidRDefault="0069544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EF57BC" w:rsidRDefault="00392314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695444">
        <w:rPr>
          <w:rFonts w:ascii="Arial" w:hAnsi="Arial" w:cs="Arial"/>
          <w:sz w:val="20"/>
          <w:szCs w:val="20"/>
        </w:rPr>
        <w:t>Démarche de projet.</w:t>
      </w:r>
    </w:p>
    <w:p w:rsidR="00EF57BC" w:rsidRDefault="00EF57BC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EF57BC">
        <w:tblPrEx>
          <w:tblCellMar>
            <w:top w:w="0" w:type="dxa"/>
            <w:bottom w:w="0" w:type="dxa"/>
          </w:tblCellMar>
        </w:tblPrEx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7BC" w:rsidRDefault="00EF57BC">
            <w:pPr>
              <w:pStyle w:val="Standard"/>
            </w:pPr>
          </w:p>
        </w:tc>
      </w:tr>
      <w:tr w:rsidR="00EF57BC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EF57BC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EF57BC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ind w:right="-113"/>
            </w:pPr>
            <w:r>
              <w:t>En groupe de 4</w:t>
            </w:r>
          </w:p>
        </w:tc>
      </w:tr>
      <w:tr w:rsidR="00EF57BC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</w:pPr>
            <w:r>
              <w:t>4x1h30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  <w:ind w:right="-113"/>
            </w:pPr>
            <w:r>
              <w:t>A l'aide du cahier des charges fait (séq 20),  et en fonction des contraintes (taille du plateau de l'imprimante 3D), chaque groupe fabrique son travail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BC" w:rsidRDefault="00695444">
            <w:pPr>
              <w:pStyle w:val="Standard"/>
              <w:spacing w:after="0" w:line="240" w:lineRule="auto"/>
            </w:pPr>
            <w:r>
              <w:t>Fiche d'activités</w:t>
            </w:r>
          </w:p>
          <w:p w:rsidR="00EF57BC" w:rsidRDefault="00695444">
            <w:pPr>
              <w:pStyle w:val="Standard"/>
              <w:spacing w:after="0" w:line="240" w:lineRule="auto"/>
            </w:pPr>
            <w:r>
              <w:t>Solidworks</w:t>
            </w:r>
          </w:p>
          <w:p w:rsidR="00EF57BC" w:rsidRDefault="00695444">
            <w:pPr>
              <w:pStyle w:val="Standard"/>
              <w:spacing w:after="0" w:line="240" w:lineRule="auto"/>
            </w:pPr>
            <w:r>
              <w:t>Imprimante 3D</w:t>
            </w:r>
          </w:p>
        </w:tc>
      </w:tr>
    </w:tbl>
    <w:p w:rsidR="00EF57BC" w:rsidRDefault="00EF57BC">
      <w:pPr>
        <w:pStyle w:val="Standard"/>
      </w:pPr>
    </w:p>
    <w:sectPr w:rsidR="00EF57BC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44" w:rsidRDefault="00695444">
      <w:pPr>
        <w:spacing w:after="0" w:line="240" w:lineRule="auto"/>
      </w:pPr>
      <w:r>
        <w:separator/>
      </w:r>
    </w:p>
  </w:endnote>
  <w:endnote w:type="continuationSeparator" w:id="0">
    <w:p w:rsidR="00695444" w:rsidRDefault="006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44" w:rsidRDefault="006954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5444" w:rsidRDefault="0069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412"/>
    <w:multiLevelType w:val="multilevel"/>
    <w:tmpl w:val="490E29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16B7EF6"/>
    <w:multiLevelType w:val="multilevel"/>
    <w:tmpl w:val="CC6A8E4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C"/>
    <w:rsid w:val="00392314"/>
    <w:rsid w:val="00695444"/>
    <w:rsid w:val="00805EA6"/>
    <w:rsid w:val="00E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E6BE"/>
  <w15:docId w15:val="{00B822F5-B59B-4FD4-B655-A2CB43B5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Fiche%20s&#233;ance%2020_1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alain ichard</cp:lastModifiedBy>
  <cp:revision>2</cp:revision>
  <cp:lastPrinted>2016-04-18T14:12:00Z</cp:lastPrinted>
  <dcterms:created xsi:type="dcterms:W3CDTF">2016-05-26T05:30:00Z</dcterms:created>
  <dcterms:modified xsi:type="dcterms:W3CDTF">2016-05-26T05:30:00Z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