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060A3E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A3E" w:rsidRDefault="00B640D7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Objet communicant</w:t>
            </w:r>
          </w:p>
          <w:p w:rsidR="00060A3E" w:rsidRDefault="00B640D7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S’approprier des outils et des méthodes</w:t>
            </w:r>
          </w:p>
          <w:p w:rsidR="00060A3E" w:rsidRDefault="00060A3E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060A3E" w:rsidRDefault="00B640D7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4</w:t>
            </w:r>
            <w:r>
              <w:rPr>
                <w:vertAlign w:val="superscript"/>
              </w:rPr>
              <w:t>ème</w:t>
            </w:r>
          </w:p>
          <w:p w:rsidR="00060A3E" w:rsidRDefault="00B640D7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hd w:val="clear" w:color="auto" w:fill="009933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060A3E" w:rsidRDefault="00B640D7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060A3E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A3E" w:rsidRDefault="00B640D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Séquence n°20   Centre d’intérêt : Réalisation, validation du prototype CI4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20_3</w:t>
            </w:r>
          </w:p>
        </w:tc>
      </w:tr>
    </w:tbl>
    <w:p w:rsidR="00060A3E" w:rsidRDefault="00B640D7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  <w:shd w:val="clear" w:color="auto" w:fill="009933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060A3E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060A3E" w:rsidRDefault="00B640D7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Réaliser, de manière collaborative, le prototype d'un objet pour valider une solution</w:t>
            </w:r>
          </w:p>
        </w:tc>
      </w:tr>
      <w:tr w:rsidR="00060A3E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Prototypage rapide de structures et de circuits de commande à partir de cartes standards</w:t>
            </w:r>
          </w:p>
        </w:tc>
      </w:tr>
      <w:tr w:rsidR="00060A3E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060A3E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A3E" w:rsidRDefault="00060A3E">
      <w:pPr>
        <w:pStyle w:val="Standard"/>
      </w:pPr>
    </w:p>
    <w:p w:rsidR="00060A3E" w:rsidRDefault="00B640D7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060A3E" w:rsidRDefault="00B640D7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060A3E" w:rsidRDefault="00B640D7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060A3E" w:rsidRDefault="00B640D7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060A3E" w:rsidRDefault="00060A3E">
      <w:pPr>
        <w:pStyle w:val="Standard"/>
        <w:spacing w:after="0"/>
      </w:pPr>
    </w:p>
    <w:p w:rsidR="00060A3E" w:rsidRDefault="00B640D7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rPr>
          <w:color w:val="009933"/>
        </w:rPr>
        <w:t>Robotique/Domotique</w:t>
      </w:r>
    </w:p>
    <w:p w:rsidR="00D70EF6" w:rsidRDefault="00B640D7">
      <w:pPr>
        <w:pStyle w:val="Standard"/>
        <w:rPr>
          <w:color w:val="009933"/>
        </w:rPr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>
        <w:rPr>
          <w:color w:val="009933"/>
        </w:rPr>
        <w:t xml:space="preserve"> voir les différents travaux pratiques</w:t>
      </w:r>
      <w:r w:rsidR="00BE7E77">
        <w:rPr>
          <w:color w:val="009933"/>
        </w:rPr>
        <w:t xml:space="preserve"> (moto-réducteurs , cellules photo-électriques, modélisation solidworks,programmation picaxe,</w:t>
      </w:r>
    </w:p>
    <w:p w:rsidR="00060A3E" w:rsidRDefault="00BE7E77">
      <w:pPr>
        <w:pStyle w:val="Standard"/>
      </w:pPr>
      <w:bookmarkStart w:id="0" w:name="_GoBack"/>
      <w:bookmarkEnd w:id="0"/>
      <w:r>
        <w:rPr>
          <w:color w:val="009933"/>
        </w:rPr>
        <w:t>transformation de mouvement, système automatique, machine commande numérique imprimante 3D)</w:t>
      </w:r>
    </w:p>
    <w:p w:rsidR="00060A3E" w:rsidRDefault="00B640D7">
      <w:pPr>
        <w:pStyle w:val="Standard"/>
      </w:pPr>
      <w:r>
        <w:rPr>
          <w:rFonts w:ascii="Arial" w:hAnsi="Arial"/>
          <w:color w:val="1F497D"/>
          <w:sz w:val="24"/>
        </w:rPr>
        <w:t>Démarche pédagogique retenue : TP tournants</w:t>
      </w:r>
    </w:p>
    <w:p w:rsidR="00060A3E" w:rsidRDefault="00B640D7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060A3E" w:rsidRDefault="00B640D7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060A3E" w:rsidRDefault="00B640D7">
      <w:pPr>
        <w:pStyle w:val="Standard"/>
        <w:spacing w:after="0"/>
      </w:pPr>
      <w:r>
        <w:rPr>
          <w:rFonts w:ascii="MS Gothic" w:eastAsia="MS Gothic" w:hAnsi="MS Gothic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060A3E" w:rsidRDefault="00B640D7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 xml:space="preserve"> Formation.</w:t>
      </w:r>
    </w:p>
    <w:p w:rsidR="00060A3E" w:rsidRDefault="00060A3E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5525"/>
      </w:tblGrid>
      <w:tr w:rsidR="00060A3E">
        <w:tblPrEx>
          <w:tblCellMar>
            <w:top w:w="0" w:type="dxa"/>
            <w:bottom w:w="0" w:type="dxa"/>
          </w:tblCellMar>
        </w:tblPrEx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0A3E" w:rsidRDefault="00060A3E">
            <w:pPr>
              <w:pStyle w:val="Standard"/>
            </w:pPr>
          </w:p>
        </w:tc>
      </w:tr>
      <w:tr w:rsidR="00060A3E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</w:tr>
      <w:tr w:rsidR="00060A3E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</w:pPr>
            <w:r>
              <w:t>1h30 x2/TP</w:t>
            </w: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Série 1 et 2 : ETUDE 1</w:t>
            </w:r>
          </w:p>
        </w:tc>
      </w:tr>
      <w:tr w:rsidR="00060A3E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060A3E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060A3E">
            <w:pPr>
              <w:pStyle w:val="Standard"/>
              <w:spacing w:after="0" w:line="240" w:lineRule="auto"/>
            </w:pPr>
          </w:p>
        </w:tc>
      </w:tr>
      <w:tr w:rsidR="00060A3E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</w:pPr>
            <w:r>
              <w:t>1h30 x2/TP</w:t>
            </w:r>
          </w:p>
        </w:tc>
        <w:tc>
          <w:tcPr>
            <w:tcW w:w="8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3E" w:rsidRDefault="00B640D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Série 1 et 2 : ETUDE 2</w:t>
            </w:r>
          </w:p>
        </w:tc>
      </w:tr>
    </w:tbl>
    <w:p w:rsidR="00060A3E" w:rsidRDefault="00060A3E">
      <w:pPr>
        <w:pStyle w:val="Standard"/>
      </w:pPr>
    </w:p>
    <w:sectPr w:rsidR="00060A3E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DA" w:rsidRDefault="008B3ADA">
      <w:pPr>
        <w:spacing w:after="0" w:line="240" w:lineRule="auto"/>
      </w:pPr>
      <w:r>
        <w:separator/>
      </w:r>
    </w:p>
  </w:endnote>
  <w:endnote w:type="continuationSeparator" w:id="0">
    <w:p w:rsidR="008B3ADA" w:rsidRDefault="008B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DA" w:rsidRDefault="008B3A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3ADA" w:rsidRDefault="008B3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E"/>
    <w:rsid w:val="00060A3E"/>
    <w:rsid w:val="001C6462"/>
    <w:rsid w:val="008B3ADA"/>
    <w:rsid w:val="009705A4"/>
    <w:rsid w:val="009D0572"/>
    <w:rsid w:val="00B640D7"/>
    <w:rsid w:val="00BE7E77"/>
    <w:rsid w:val="00D7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6C9"/>
  <w15:docId w15:val="{CFCD96C4-54F8-480B-9CF7-4CBC0B7F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2016-04-25T19:02:00Z</cp:lastPrinted>
  <dcterms:created xsi:type="dcterms:W3CDTF">2016-04-25T19:05:00Z</dcterms:created>
  <dcterms:modified xsi:type="dcterms:W3CDTF">2016-04-25T19:05:00Z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